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D334BC" w14:textId="77777777" w:rsidR="00C64B1B" w:rsidRDefault="00C64B1B" w:rsidP="00C64B1B">
      <w:pPr>
        <w:jc w:val="center"/>
      </w:pPr>
    </w:p>
    <w:tbl>
      <w:tblPr>
        <w:tblW w:w="151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6521"/>
        <w:gridCol w:w="3686"/>
        <w:gridCol w:w="1359"/>
        <w:gridCol w:w="40"/>
      </w:tblGrid>
      <w:tr w:rsidR="00A06425" w:rsidRPr="00A06425" w14:paraId="00AAB971" w14:textId="77777777" w:rsidTr="00C22C13">
        <w:tc>
          <w:tcPr>
            <w:tcW w:w="15145" w:type="dxa"/>
            <w:gridSpan w:val="7"/>
            <w:shd w:val="clear" w:color="auto" w:fill="auto"/>
            <w:vAlign w:val="center"/>
          </w:tcPr>
          <w:p w14:paraId="4A9AD169" w14:textId="0455142A"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921B96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921B96" w:rsidRPr="00921B96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Projekt ustawy o rynku pracy i służbach zatrudnienia (UC29)</w:t>
            </w:r>
          </w:p>
          <w:p w14:paraId="30607D11" w14:textId="77777777"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A06425" w:rsidRPr="00A06425" w14:paraId="0D4A2620" w14:textId="77777777" w:rsidTr="00C22C13">
        <w:trPr>
          <w:gridAfter w:val="1"/>
          <w:wAfter w:w="40" w:type="dxa"/>
        </w:trPr>
        <w:tc>
          <w:tcPr>
            <w:tcW w:w="562" w:type="dxa"/>
            <w:shd w:val="clear" w:color="auto" w:fill="auto"/>
            <w:vAlign w:val="center"/>
          </w:tcPr>
          <w:p w14:paraId="3098C35F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F8BEA81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B037C8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3458DEE1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506B34CE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14:paraId="3BD59F39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14:paraId="5CDE4CDE" w14:textId="77777777" w:rsidTr="00C22C13">
        <w:trPr>
          <w:gridAfter w:val="1"/>
          <w:wAfter w:w="40" w:type="dxa"/>
        </w:trPr>
        <w:tc>
          <w:tcPr>
            <w:tcW w:w="562" w:type="dxa"/>
            <w:shd w:val="clear" w:color="auto" w:fill="auto"/>
          </w:tcPr>
          <w:p w14:paraId="70A559FC" w14:textId="2B1EA93D" w:rsidR="00A06425" w:rsidRPr="00A06425" w:rsidRDefault="00ED400D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127A19E0" w14:textId="5CC3D749" w:rsidR="00A06425" w:rsidRPr="00A06425" w:rsidRDefault="00A06425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713F6DA1" w14:textId="402E9327" w:rsidR="00A06425" w:rsidRPr="00A06425" w:rsidRDefault="00C22C13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506EF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art. 51 ust. 1 pkt 3 projektu</w:t>
            </w:r>
          </w:p>
        </w:tc>
        <w:tc>
          <w:tcPr>
            <w:tcW w:w="6521" w:type="dxa"/>
            <w:shd w:val="clear" w:color="auto" w:fill="auto"/>
          </w:tcPr>
          <w:p w14:paraId="5E53BB4A" w14:textId="77777777" w:rsidR="00C22C13" w:rsidRDefault="00C22C13" w:rsidP="00C22C13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„</w:t>
            </w:r>
            <w:r w:rsidRPr="00F04ABB">
              <w:rPr>
                <w:rFonts w:ascii="Arial" w:hAnsi="Arial" w:cs="Arial"/>
                <w:i/>
                <w:sz w:val="20"/>
                <w:szCs w:val="20"/>
              </w:rPr>
              <w:t>Art. 51. 1. W celu zapewnienia prawidłowej realizacji zadań przez publiczne służby zatrudnienia ministrowi właściwemu do spraw pracy udostępniane są następujące dane, w zakresie niezbędnym do realizacji tych zadań, przetwarzane przez: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</w:p>
          <w:p w14:paraId="4D44FE11" w14:textId="77777777" w:rsidR="00C22C13" w:rsidRDefault="00C22C13" w:rsidP="00C22C13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(…)</w:t>
            </w:r>
          </w:p>
          <w:p w14:paraId="6AD3B980" w14:textId="77777777" w:rsidR="00C22C13" w:rsidRDefault="00C22C13" w:rsidP="00C22C13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F04ABB">
              <w:rPr>
                <w:rFonts w:ascii="Arial" w:hAnsi="Arial" w:cs="Arial"/>
                <w:i/>
                <w:sz w:val="20"/>
                <w:szCs w:val="20"/>
              </w:rPr>
              <w:t xml:space="preserve">3) ministra właściwego do spraw gospodarki – dane osób fizycznych prowadzących działalność gospodarczą oraz ich przedstawicieli ustawowych, o ile są wymagani, o których mowa w </w:t>
            </w:r>
            <w:r w:rsidRPr="00F04ABB">
              <w:rPr>
                <w:rFonts w:ascii="Arial" w:hAnsi="Arial" w:cs="Arial"/>
                <w:i/>
                <w:color w:val="FF0000"/>
                <w:sz w:val="20"/>
                <w:szCs w:val="20"/>
              </w:rPr>
              <w:t>art. 47 ust. 1 pkt 1, 2, 6, 10, art. 48 ust. 4, art. 49 ust. 1 pkt 2</w:t>
            </w:r>
            <w:r w:rsidRPr="00F04ABB">
              <w:rPr>
                <w:rFonts w:ascii="Arial" w:hAnsi="Arial" w:cs="Arial"/>
                <w:i/>
                <w:sz w:val="20"/>
                <w:szCs w:val="20"/>
              </w:rPr>
              <w:t xml:space="preserve"> oraz z Centralnej Ewidencji i Informacji o Działalności Gospodarczej, zwanej dalej „CEIDG”, niezbędne do weryfikacji warunku, o którym mowa w art. 2 pkt 1 lit. c–e, art. 73 ust. 1, art. 220 ust. 1 pkt 4, art. 232, </w:t>
            </w:r>
            <w:r w:rsidRPr="00DF15B0">
              <w:rPr>
                <w:rFonts w:ascii="Arial" w:hAnsi="Arial" w:cs="Arial"/>
                <w:i/>
                <w:color w:val="FF0000"/>
                <w:sz w:val="20"/>
                <w:szCs w:val="20"/>
              </w:rPr>
              <w:t>art. 233 ust. 5 pkt 7,</w:t>
            </w:r>
            <w:r w:rsidRPr="00F04ABB">
              <w:rPr>
                <w:rFonts w:ascii="Arial" w:hAnsi="Arial" w:cs="Arial"/>
                <w:i/>
                <w:sz w:val="20"/>
                <w:szCs w:val="20"/>
              </w:rPr>
              <w:t xml:space="preserve"> art. 309 ust. 2 pkt 8, art. 316, art. 332 ust. 1 pkt 6;</w:t>
            </w:r>
            <w:r>
              <w:rPr>
                <w:rFonts w:ascii="Arial" w:hAnsi="Arial" w:cs="Arial"/>
                <w:i/>
                <w:sz w:val="20"/>
                <w:szCs w:val="20"/>
              </w:rPr>
              <w:t>”</w:t>
            </w:r>
          </w:p>
          <w:p w14:paraId="2C74AA51" w14:textId="77777777" w:rsidR="00E36E3A" w:rsidRPr="00F04ABB" w:rsidRDefault="00E36E3A" w:rsidP="00C22C13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57804FD8" w14:textId="02052B01" w:rsidR="00C22C13" w:rsidRDefault="001F2AE3" w:rsidP="00C22C13">
            <w:pPr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Zwracamy</w:t>
            </w:r>
            <w:r w:rsidR="00C22C13">
              <w:rPr>
                <w:rFonts w:ascii="Arial" w:hAnsi="Arial" w:cs="Arial"/>
                <w:iCs/>
                <w:sz w:val="20"/>
                <w:szCs w:val="20"/>
              </w:rPr>
              <w:t xml:space="preserve"> uwagę, że zakres danych przetwarzanych w CEIDG (wpisanych w CEIDG i publikowanych w CEIDG) określony został w art. 5, art. 44 oraz ewentualnie w art. 38 – w zakresie informacji o pełnomocniku przedsiębiorcy, ustawy o CEIDG i PIP. Natomiast w myśl ww. art. 51 ust. 1 pkt 3 projektu </w:t>
            </w:r>
            <w:r w:rsidR="00C22C13" w:rsidRPr="001C1DC2">
              <w:rPr>
                <w:rFonts w:ascii="Arial" w:hAnsi="Arial" w:cs="Arial"/>
                <w:iCs/>
                <w:sz w:val="20"/>
                <w:szCs w:val="20"/>
              </w:rPr>
              <w:t>ministrowi właściwemu do spraw pracy udostępniane są dane</w:t>
            </w:r>
            <w:r w:rsidR="00C22C13">
              <w:rPr>
                <w:rFonts w:ascii="Arial" w:hAnsi="Arial" w:cs="Arial"/>
                <w:iCs/>
                <w:sz w:val="20"/>
                <w:szCs w:val="20"/>
              </w:rPr>
              <w:t xml:space="preserve"> wykraczające poza wskazy w ustawie o CEIDG i PIP zakres. MRiT nie dysponuje informacjami do przekazania których zobowiązuje ministra właściwego do spraw gospodarki przepis art. 51 ust. 1 pkt 3 jak np. danymi, o których mowa w art. 47 ust. 1 pkt 1 i 2 (dane osób bezrobotnych/poszukujących pracy korzystających z form pomocy udzielanych przez publiczne służby zatrudnienia (…), art. 48 ust. 4 (informacje o zaległości z tyt. podatków (…), danych pracowników agencji zatrudnienia). Dodatkowo zwracamy uwagę, że art. 233 ust. 5 nie ma pkt 7, a ww. art. 51 ust.1 pkt 3 zawiera do niego odwołanie.</w:t>
            </w:r>
          </w:p>
          <w:p w14:paraId="7084047B" w14:textId="65328265" w:rsidR="00C22C13" w:rsidRPr="00F705BD" w:rsidRDefault="0058130E" w:rsidP="00C22C13">
            <w:pPr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Warto</w:t>
            </w:r>
            <w:r w:rsidR="00C22C13">
              <w:rPr>
                <w:rFonts w:ascii="Arial" w:hAnsi="Arial" w:cs="Arial"/>
                <w:iCs/>
                <w:sz w:val="20"/>
                <w:szCs w:val="20"/>
              </w:rPr>
              <w:t xml:space="preserve"> podkreślić, że z</w:t>
            </w:r>
            <w:r w:rsidR="00C22C13" w:rsidRPr="00F705BD">
              <w:rPr>
                <w:rFonts w:ascii="Arial" w:hAnsi="Arial" w:cs="Arial"/>
                <w:iCs/>
                <w:sz w:val="20"/>
                <w:szCs w:val="20"/>
              </w:rPr>
              <w:t>godnie z art. 2 ust. 2 ustawy</w:t>
            </w:r>
            <w:r w:rsidR="00C22C13"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r w:rsidR="00C22C13" w:rsidRPr="00F705BD">
              <w:rPr>
                <w:rFonts w:ascii="Arial" w:hAnsi="Arial" w:cs="Arial"/>
                <w:iCs/>
                <w:sz w:val="20"/>
                <w:szCs w:val="20"/>
              </w:rPr>
              <w:t>CEIDG i PIP zadaniem CEIDG jest:</w:t>
            </w:r>
          </w:p>
          <w:p w14:paraId="13ACDBEC" w14:textId="77777777" w:rsidR="00C22C13" w:rsidRPr="00F705BD" w:rsidRDefault="00C22C13" w:rsidP="00C22C13">
            <w:pPr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F705BD">
              <w:rPr>
                <w:rFonts w:ascii="Arial" w:hAnsi="Arial" w:cs="Arial"/>
                <w:iCs/>
                <w:sz w:val="20"/>
                <w:szCs w:val="20"/>
              </w:rPr>
              <w:t>1)</w:t>
            </w:r>
            <w:r w:rsidRPr="00F705BD">
              <w:rPr>
                <w:rFonts w:ascii="Arial" w:hAnsi="Arial" w:cs="Arial"/>
                <w:iCs/>
                <w:sz w:val="20"/>
                <w:szCs w:val="20"/>
              </w:rPr>
              <w:tab/>
              <w:t xml:space="preserve">ewidencjonowanie przedsiębiorców będących osobami fizycznymi, </w:t>
            </w:r>
          </w:p>
          <w:p w14:paraId="697D9C50" w14:textId="77777777" w:rsidR="00C22C13" w:rsidRPr="00F705BD" w:rsidRDefault="00C22C13" w:rsidP="00C22C13">
            <w:pPr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F705BD">
              <w:rPr>
                <w:rFonts w:ascii="Arial" w:hAnsi="Arial" w:cs="Arial"/>
                <w:iCs/>
                <w:sz w:val="20"/>
                <w:szCs w:val="20"/>
              </w:rPr>
              <w:t>2)</w:t>
            </w:r>
            <w:r w:rsidRPr="00F705BD">
              <w:rPr>
                <w:rFonts w:ascii="Arial" w:hAnsi="Arial" w:cs="Arial"/>
                <w:iCs/>
                <w:sz w:val="20"/>
                <w:szCs w:val="20"/>
              </w:rPr>
              <w:tab/>
              <w:t xml:space="preserve">udostępnianie informacji o przedsiębiorcach i innych podmiotach w zakresie wskazanym w ustawie, </w:t>
            </w:r>
          </w:p>
          <w:p w14:paraId="12E29004" w14:textId="77777777" w:rsidR="00C22C13" w:rsidRDefault="00C22C13" w:rsidP="00C22C13">
            <w:pPr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F705BD">
              <w:rPr>
                <w:rFonts w:ascii="Arial" w:hAnsi="Arial" w:cs="Arial"/>
                <w:iCs/>
                <w:sz w:val="20"/>
                <w:szCs w:val="20"/>
              </w:rPr>
              <w:lastRenderedPageBreak/>
              <w:t>3)</w:t>
            </w:r>
            <w:r w:rsidRPr="00F705BD">
              <w:rPr>
                <w:rFonts w:ascii="Arial" w:hAnsi="Arial" w:cs="Arial"/>
                <w:iCs/>
                <w:sz w:val="20"/>
                <w:szCs w:val="20"/>
              </w:rPr>
              <w:tab/>
              <w:t>udostępnianie informacji o zakresie i terminie zmian we wpisach do CEIDG oraz w informacjach i danych udostępnianych w CEIDG, a także o wprowadzającym te zmiany podmiocie.</w:t>
            </w:r>
          </w:p>
          <w:p w14:paraId="063F179D" w14:textId="77777777" w:rsidR="00E36E3A" w:rsidRDefault="00E36E3A" w:rsidP="00C22C13">
            <w:pPr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18BBB2F6" w14:textId="77777777" w:rsidR="00C22C13" w:rsidRDefault="00C22C13" w:rsidP="00C22C1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 xml:space="preserve">Natomiast zgodnie z </w:t>
            </w:r>
            <w:r>
              <w:rPr>
                <w:rFonts w:ascii="Arial" w:hAnsi="Arial" w:cs="Arial"/>
                <w:sz w:val="20"/>
                <w:szCs w:val="20"/>
              </w:rPr>
              <w:t xml:space="preserve">art. </w:t>
            </w:r>
            <w:r w:rsidRPr="00DF77DB"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 xml:space="preserve">8 ust. 1 </w:t>
            </w:r>
            <w:r w:rsidRPr="00DF77DB">
              <w:rPr>
                <w:rFonts w:ascii="Arial" w:hAnsi="Arial" w:cs="Arial"/>
                <w:sz w:val="20"/>
                <w:szCs w:val="20"/>
              </w:rPr>
              <w:t xml:space="preserve">ustawy o </w:t>
            </w:r>
            <w:r>
              <w:rPr>
                <w:rFonts w:ascii="Arial" w:hAnsi="Arial" w:cs="Arial"/>
                <w:sz w:val="20"/>
                <w:szCs w:val="20"/>
              </w:rPr>
              <w:t xml:space="preserve">CEIDG i PIP - </w:t>
            </w:r>
            <w:r w:rsidRPr="00F705BD">
              <w:rPr>
                <w:rFonts w:ascii="Arial" w:hAnsi="Arial" w:cs="Arial"/>
                <w:sz w:val="20"/>
                <w:szCs w:val="20"/>
              </w:rPr>
              <w:t>CEIDG udostępnia zgromadzone dane i informacje, o których mowa w art. 5 ust. 1 i 2, art. 38 i art. 44 ust. 1, organom państwowym w celu realizacji ich ustawowych zadań.</w:t>
            </w:r>
            <w:r>
              <w:rPr>
                <w:rFonts w:ascii="Arial" w:hAnsi="Arial" w:cs="Arial"/>
                <w:sz w:val="20"/>
                <w:szCs w:val="20"/>
              </w:rPr>
              <w:t xml:space="preserve"> D</w:t>
            </w:r>
            <w:r w:rsidRPr="00DF77DB">
              <w:rPr>
                <w:rFonts w:ascii="Arial" w:hAnsi="Arial" w:cs="Arial"/>
                <w:sz w:val="20"/>
                <w:szCs w:val="20"/>
              </w:rPr>
              <w:t>ane i informacje zgromadzone w CEIDG po uprzednim ustaleniu z ministrem właściwym do spraw gospodarki warunków udostępniania tych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F77DB">
              <w:rPr>
                <w:rFonts w:ascii="Arial" w:hAnsi="Arial" w:cs="Arial"/>
                <w:sz w:val="20"/>
                <w:szCs w:val="20"/>
              </w:rPr>
              <w:t>danych.</w:t>
            </w:r>
          </w:p>
          <w:p w14:paraId="7D2FEB56" w14:textId="77777777" w:rsidR="00E36E3A" w:rsidRDefault="00E36E3A" w:rsidP="00C22C1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C2FC4B8" w14:textId="77777777" w:rsidR="00A06425" w:rsidRDefault="00C22C13" w:rsidP="00E36E3A">
            <w:pPr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Zwracamy uwagę na konieczność ponownego przeanalizowania przepisu i wskazania zakresu danych uzyskiwanych z MRiT (CEIDG), który faktycznie jest dostępny w ramach CEIDG.</w:t>
            </w:r>
          </w:p>
          <w:p w14:paraId="295DAFBA" w14:textId="73CD421C" w:rsidR="0058130E" w:rsidRPr="00A06425" w:rsidRDefault="0058130E" w:rsidP="00E36E3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86" w:type="dxa"/>
            <w:shd w:val="clear" w:color="auto" w:fill="auto"/>
          </w:tcPr>
          <w:p w14:paraId="0A2B3E54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3802C221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14:paraId="7F319EC7" w14:textId="77777777" w:rsidTr="00C22C13">
        <w:trPr>
          <w:gridAfter w:val="1"/>
          <w:wAfter w:w="40" w:type="dxa"/>
        </w:trPr>
        <w:tc>
          <w:tcPr>
            <w:tcW w:w="562" w:type="dxa"/>
            <w:shd w:val="clear" w:color="auto" w:fill="auto"/>
          </w:tcPr>
          <w:p w14:paraId="5737DB88" w14:textId="491779DF" w:rsidR="00A06425" w:rsidRPr="00A06425" w:rsidRDefault="00ED400D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14:paraId="14EDC60D" w14:textId="77777777" w:rsidR="00A06425" w:rsidRPr="00A06425" w:rsidRDefault="00A06425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00D3ABCE" w14:textId="690567C5" w:rsidR="00A06425" w:rsidRPr="00A06425" w:rsidRDefault="008C11F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506EF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art. 2 pkt 1 </w:t>
            </w:r>
            <w:r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lit. h </w:t>
            </w:r>
            <w:r w:rsidRPr="004506EF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projektu</w:t>
            </w:r>
          </w:p>
        </w:tc>
        <w:tc>
          <w:tcPr>
            <w:tcW w:w="6521" w:type="dxa"/>
            <w:shd w:val="clear" w:color="auto" w:fill="auto"/>
          </w:tcPr>
          <w:p w14:paraId="0908A006" w14:textId="77777777" w:rsidR="008C11F5" w:rsidRPr="004506EF" w:rsidRDefault="008C11F5" w:rsidP="008C11F5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4506EF">
              <w:rPr>
                <w:rFonts w:ascii="Arial" w:hAnsi="Arial" w:cs="Arial"/>
                <w:i/>
                <w:sz w:val="20"/>
                <w:szCs w:val="20"/>
              </w:rPr>
              <w:t>„Art. 2. Ilekroć w ustawie jest mowa o:</w:t>
            </w:r>
          </w:p>
          <w:p w14:paraId="2AEFA92C" w14:textId="77777777" w:rsidR="008C11F5" w:rsidRPr="004506EF" w:rsidRDefault="008C11F5" w:rsidP="008C11F5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4506EF">
              <w:rPr>
                <w:rFonts w:ascii="Arial" w:hAnsi="Arial" w:cs="Arial"/>
                <w:i/>
                <w:sz w:val="20"/>
                <w:szCs w:val="20"/>
              </w:rPr>
              <w:t>1) bezrobotnym – oznacza to osobę, o której mowa w art. 1 ust. 3 pkt 1 lub pkt 2 lit. a–k lub n, lub osobę, o której mowa w art. 1 ust. 3 pkt 3, 5 lub 6 niezatrudnioną i niewykonującą innej pracy zarobkowej,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4506EF">
              <w:rPr>
                <w:rFonts w:ascii="Arial" w:hAnsi="Arial" w:cs="Arial"/>
                <w:i/>
                <w:sz w:val="20"/>
                <w:szCs w:val="20"/>
              </w:rPr>
              <w:t>(…), zarejestrowaną w powiatowym urzędzie pracy, jeżeli:</w:t>
            </w:r>
          </w:p>
          <w:p w14:paraId="4739D028" w14:textId="77777777" w:rsidR="008C11F5" w:rsidRPr="004506EF" w:rsidRDefault="008C11F5" w:rsidP="008C11F5">
            <w:pPr>
              <w:ind w:left="36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4506EF">
              <w:rPr>
                <w:rFonts w:ascii="Arial" w:hAnsi="Arial" w:cs="Arial"/>
                <w:i/>
                <w:sz w:val="20"/>
                <w:szCs w:val="20"/>
              </w:rPr>
              <w:t>(…)</w:t>
            </w:r>
          </w:p>
          <w:p w14:paraId="0FF359D6" w14:textId="77777777" w:rsidR="008C11F5" w:rsidRDefault="008C11F5" w:rsidP="008C11F5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4506EF">
              <w:rPr>
                <w:rFonts w:ascii="Arial" w:hAnsi="Arial" w:cs="Arial"/>
                <w:i/>
                <w:sz w:val="20"/>
                <w:szCs w:val="20"/>
              </w:rPr>
              <w:t xml:space="preserve">h) nie jest członkiem zarządu, prokurentem, członkiem rady nadzorczej lub likwidatorem spółki kapitałowej w rozumieniu przepisów ustawy z dnia 15 września 2000 r. – Kodeks spółek handlowych (Dz. U. z 2024 r. poz. 18 i 96) lub </w:t>
            </w:r>
            <w:r w:rsidRPr="004506EF">
              <w:rPr>
                <w:rFonts w:ascii="Arial" w:hAnsi="Arial" w:cs="Arial"/>
                <w:b/>
                <w:bCs/>
                <w:i/>
                <w:color w:val="FF0000"/>
                <w:sz w:val="20"/>
                <w:szCs w:val="20"/>
              </w:rPr>
              <w:t>nie jest pełnomocnikiem lub prokurentem podmiotu wypisanego do Centralnej Ewidencji i Informacji o Działalności Gospodarczej</w:t>
            </w:r>
            <w:r w:rsidRPr="004506EF">
              <w:rPr>
                <w:rFonts w:ascii="Arial" w:hAnsi="Arial" w:cs="Arial"/>
                <w:i/>
                <w:sz w:val="20"/>
                <w:szCs w:val="20"/>
              </w:rPr>
              <w:t>”</w:t>
            </w:r>
          </w:p>
          <w:p w14:paraId="48E61D4D" w14:textId="77777777" w:rsidR="00E36E3A" w:rsidRDefault="00E36E3A" w:rsidP="008C11F5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29A07D9E" w14:textId="45405931" w:rsidR="00E36E3A" w:rsidRDefault="00E36E3A" w:rsidP="00E36E3A">
            <w:pPr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E36E3A">
              <w:rPr>
                <w:rFonts w:ascii="Arial" w:hAnsi="Arial" w:cs="Arial"/>
                <w:iCs/>
                <w:sz w:val="20"/>
                <w:szCs w:val="20"/>
              </w:rPr>
              <w:t>Zaproponowana definicja osoby bezrobotnej w zakresie posiadania statusu pełnomocnika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r w:rsidRPr="00E36E3A">
              <w:rPr>
                <w:rFonts w:ascii="Arial" w:hAnsi="Arial" w:cs="Arial"/>
                <w:iCs/>
                <w:sz w:val="20"/>
                <w:szCs w:val="20"/>
              </w:rPr>
              <w:t>podmiotu wpisanego do CEIDG jest niezrozumiała. Przedsiębiorcy wpisani do CEIDG to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r w:rsidRPr="00E36E3A">
              <w:rPr>
                <w:rFonts w:ascii="Arial" w:hAnsi="Arial" w:cs="Arial"/>
                <w:iCs/>
                <w:sz w:val="20"/>
                <w:szCs w:val="20"/>
              </w:rPr>
              <w:t>najczęściej firmy należące do sektora MŚP, a ich pełnomocnicy/prokurenci, o których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r w:rsidRPr="00E36E3A">
              <w:rPr>
                <w:rFonts w:ascii="Arial" w:hAnsi="Arial" w:cs="Arial"/>
                <w:iCs/>
                <w:sz w:val="20"/>
                <w:szCs w:val="20"/>
              </w:rPr>
              <w:t>informacje opublikowano w CEIDG, to nierzadko członkowie rodziny przedsiębiorcy.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r w:rsidRPr="00E36E3A">
              <w:rPr>
                <w:rFonts w:ascii="Arial" w:hAnsi="Arial" w:cs="Arial"/>
                <w:iCs/>
                <w:sz w:val="20"/>
                <w:szCs w:val="20"/>
              </w:rPr>
              <w:t>Osoby takie nie muszą być profesjonalnymi pełnomocnikami, a tylko okazjonalnie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r w:rsidRPr="00E36E3A">
              <w:rPr>
                <w:rFonts w:ascii="Arial" w:hAnsi="Arial" w:cs="Arial"/>
                <w:iCs/>
                <w:sz w:val="20"/>
                <w:szCs w:val="20"/>
              </w:rPr>
              <w:t>wykonywać w zastępstwie przedsiębiorcy pewne czynności przed organami administracji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r w:rsidRPr="00E36E3A">
              <w:rPr>
                <w:rFonts w:ascii="Arial" w:hAnsi="Arial" w:cs="Arial"/>
                <w:iCs/>
                <w:sz w:val="20"/>
                <w:szCs w:val="20"/>
              </w:rPr>
              <w:t>publicznej.</w:t>
            </w:r>
          </w:p>
          <w:p w14:paraId="389D3785" w14:textId="77777777" w:rsidR="00E36E3A" w:rsidRPr="00E36E3A" w:rsidRDefault="00E36E3A" w:rsidP="00E36E3A">
            <w:pPr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52E6A74A" w14:textId="77777777" w:rsidR="00A06425" w:rsidRDefault="00E36E3A" w:rsidP="00E36E3A">
            <w:pPr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E36E3A">
              <w:rPr>
                <w:rFonts w:ascii="Arial" w:hAnsi="Arial" w:cs="Arial"/>
                <w:iCs/>
                <w:sz w:val="20"/>
                <w:szCs w:val="20"/>
              </w:rPr>
              <w:t>Informacja o pełnomocniku i prokurencie nie należy do informacji wpisowych w CEIDG w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r w:rsidRPr="00E36E3A">
              <w:rPr>
                <w:rFonts w:ascii="Arial" w:hAnsi="Arial" w:cs="Arial"/>
                <w:iCs/>
                <w:sz w:val="20"/>
                <w:szCs w:val="20"/>
              </w:rPr>
              <w:t>rozumieniu art. 5 ustawy o CEIDG i PIP, natomiast CEIDG gwarantuje przedsiębiorcy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r w:rsidRPr="00E36E3A">
              <w:rPr>
                <w:rFonts w:ascii="Arial" w:hAnsi="Arial" w:cs="Arial"/>
                <w:iCs/>
                <w:sz w:val="20"/>
                <w:szCs w:val="20"/>
              </w:rPr>
              <w:t>możliwość opublikowania informacji o udzielonych przez niego pełnomocnictwach.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r w:rsidRPr="00E36E3A">
              <w:rPr>
                <w:rFonts w:ascii="Arial" w:hAnsi="Arial" w:cs="Arial"/>
                <w:iCs/>
                <w:sz w:val="20"/>
                <w:szCs w:val="20"/>
              </w:rPr>
              <w:t>Wskazanie w CEIDG pełnomocnika upoważnionego do dokonywania zmian w CEIDG nie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r w:rsidRPr="00E36E3A">
              <w:rPr>
                <w:rFonts w:ascii="Arial" w:hAnsi="Arial" w:cs="Arial"/>
                <w:iCs/>
                <w:sz w:val="20"/>
                <w:szCs w:val="20"/>
              </w:rPr>
              <w:t>powinno skutkować utratą statusu bezrobotnego. Dodatkowo zwracamy uwagę, że w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r w:rsidRPr="00E36E3A">
              <w:rPr>
                <w:rFonts w:ascii="Arial" w:hAnsi="Arial" w:cs="Arial"/>
                <w:iCs/>
                <w:sz w:val="20"/>
                <w:szCs w:val="20"/>
              </w:rPr>
              <w:t xml:space="preserve">omawianym przepisie zakłada się, że funkcja </w:t>
            </w:r>
            <w:r w:rsidRPr="00E36E3A">
              <w:rPr>
                <w:rFonts w:ascii="Arial" w:hAnsi="Arial" w:cs="Arial"/>
                <w:iCs/>
                <w:sz w:val="20"/>
                <w:szCs w:val="20"/>
              </w:rPr>
              <w:lastRenderedPageBreak/>
              <w:t>pełnomocnika osoby prawnej (spółki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r w:rsidRPr="00E36E3A">
              <w:rPr>
                <w:rFonts w:ascii="Arial" w:hAnsi="Arial" w:cs="Arial"/>
                <w:iCs/>
                <w:sz w:val="20"/>
                <w:szCs w:val="20"/>
              </w:rPr>
              <w:t>kapitałowej) nie powoduje utraty statusu osoby bezrobotnej. Tylko pełnomocnik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r w:rsidRPr="00E36E3A">
              <w:rPr>
                <w:rFonts w:ascii="Arial" w:hAnsi="Arial" w:cs="Arial"/>
                <w:iCs/>
                <w:sz w:val="20"/>
                <w:szCs w:val="20"/>
              </w:rPr>
              <w:t>przedsiębiorcy wpisanego do CEIDG traci status osoby bezrobotnej, co jest nierównym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r w:rsidRPr="00E36E3A">
              <w:rPr>
                <w:rFonts w:ascii="Arial" w:hAnsi="Arial" w:cs="Arial"/>
                <w:iCs/>
                <w:sz w:val="20"/>
                <w:szCs w:val="20"/>
              </w:rPr>
              <w:t>traktowaniem osób pełniących taką samą funkcję. Co więcej, taka konstrukcja jest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r w:rsidRPr="00E36E3A">
              <w:rPr>
                <w:rFonts w:ascii="Arial" w:hAnsi="Arial" w:cs="Arial"/>
                <w:iCs/>
                <w:sz w:val="20"/>
                <w:szCs w:val="20"/>
              </w:rPr>
              <w:t>niespójna z założeniami dla funkcji prokurenta przedsiębiorcy wpisanego do CEIDG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r w:rsidRPr="00E36E3A">
              <w:rPr>
                <w:rFonts w:ascii="Arial" w:hAnsi="Arial" w:cs="Arial"/>
                <w:iCs/>
                <w:sz w:val="20"/>
                <w:szCs w:val="20"/>
              </w:rPr>
              <w:t>przedstawionymi w aktualnie procedowanym projekcie ustawy o warunkach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r w:rsidRPr="00E36E3A">
              <w:rPr>
                <w:rFonts w:ascii="Arial" w:hAnsi="Arial" w:cs="Arial"/>
                <w:iCs/>
                <w:sz w:val="20"/>
                <w:szCs w:val="20"/>
              </w:rPr>
              <w:t>dopuszczalności powierzania pracy cudzoziemcom na terytorium Rzeczypospolitej Polskiej –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r w:rsidRPr="00E36E3A">
              <w:rPr>
                <w:rFonts w:ascii="Arial" w:hAnsi="Arial" w:cs="Arial"/>
                <w:iCs/>
                <w:sz w:val="20"/>
                <w:szCs w:val="20"/>
              </w:rPr>
              <w:t>gdzie pełnienie funkcji prokurenta przedsiębiorcy wpisanego do CEIDG nie wymaga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r w:rsidRPr="00E36E3A">
              <w:rPr>
                <w:rFonts w:ascii="Arial" w:hAnsi="Arial" w:cs="Arial"/>
                <w:iCs/>
                <w:sz w:val="20"/>
                <w:szCs w:val="20"/>
              </w:rPr>
              <w:t>uzyskania odpowiedniego dla tej funkcji zezwolenia na pracę cudzoziemca. W związku z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r w:rsidRPr="00E36E3A">
              <w:rPr>
                <w:rFonts w:ascii="Arial" w:hAnsi="Arial" w:cs="Arial"/>
                <w:iCs/>
                <w:sz w:val="20"/>
                <w:szCs w:val="20"/>
              </w:rPr>
              <w:t>powyższym, MRiT wnosi o uspójnienie założeń obydwu ustaw w zakresie traktowania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r w:rsidRPr="00E36E3A">
              <w:rPr>
                <w:rFonts w:ascii="Arial" w:hAnsi="Arial" w:cs="Arial"/>
                <w:iCs/>
                <w:sz w:val="20"/>
                <w:szCs w:val="20"/>
              </w:rPr>
              <w:t>pełnomocników i prokurentów w taki sposób, aby bycie pełnomocnikiem/prokurentem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r w:rsidRPr="00E36E3A">
              <w:rPr>
                <w:rFonts w:ascii="Arial" w:hAnsi="Arial" w:cs="Arial"/>
                <w:iCs/>
                <w:sz w:val="20"/>
                <w:szCs w:val="20"/>
              </w:rPr>
              <w:t>przedsiębiorcy wpisanego do CEIDG nie powodowało utraty statusu osoby bezrobotnej.</w:t>
            </w:r>
          </w:p>
          <w:p w14:paraId="5372B176" w14:textId="238E4930" w:rsidR="00E36E3A" w:rsidRPr="00A06425" w:rsidRDefault="00E36E3A" w:rsidP="00E36E3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86" w:type="dxa"/>
            <w:shd w:val="clear" w:color="auto" w:fill="auto"/>
          </w:tcPr>
          <w:p w14:paraId="720EDB79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3F06B3EF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14:paraId="5B35838A" w14:textId="77777777" w:rsidTr="00C22C13">
        <w:trPr>
          <w:gridAfter w:val="1"/>
          <w:wAfter w:w="40" w:type="dxa"/>
        </w:trPr>
        <w:tc>
          <w:tcPr>
            <w:tcW w:w="562" w:type="dxa"/>
            <w:shd w:val="clear" w:color="auto" w:fill="auto"/>
          </w:tcPr>
          <w:p w14:paraId="2DA53905" w14:textId="596C7FA2" w:rsidR="00A06425" w:rsidRPr="00A06425" w:rsidRDefault="00ED400D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14:paraId="3689510E" w14:textId="77777777" w:rsidR="00A06425" w:rsidRPr="00A06425" w:rsidRDefault="00A06425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4CF75090" w14:textId="4ABC031E" w:rsidR="00A06425" w:rsidRPr="00A06425" w:rsidRDefault="008C11F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506EF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art. 232 projektu</w:t>
            </w:r>
          </w:p>
        </w:tc>
        <w:tc>
          <w:tcPr>
            <w:tcW w:w="6521" w:type="dxa"/>
            <w:shd w:val="clear" w:color="auto" w:fill="auto"/>
          </w:tcPr>
          <w:p w14:paraId="4F117203" w14:textId="77777777" w:rsidR="008C11F5" w:rsidRDefault="008C11F5" w:rsidP="008C11F5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CE7A99">
              <w:rPr>
                <w:rFonts w:ascii="Arial" w:hAnsi="Arial" w:cs="Arial"/>
                <w:i/>
                <w:sz w:val="20"/>
                <w:szCs w:val="20"/>
              </w:rPr>
              <w:t>„</w:t>
            </w:r>
            <w:r w:rsidRPr="002C7CA8">
              <w:rPr>
                <w:rFonts w:ascii="Arial" w:hAnsi="Arial" w:cs="Arial"/>
                <w:i/>
                <w:sz w:val="20"/>
                <w:szCs w:val="20"/>
              </w:rPr>
              <w:t xml:space="preserve">Art. 232. Bezrobotny zawiadamia PUP w terminie 7 dni o podjęciu zatrudnienia, innej pracy zarobkowej </w:t>
            </w:r>
            <w:r w:rsidRPr="002C7CA8">
              <w:rPr>
                <w:rFonts w:ascii="Arial" w:hAnsi="Arial" w:cs="Arial"/>
                <w:b/>
                <w:bCs/>
                <w:i/>
                <w:color w:val="FF0000"/>
                <w:sz w:val="20"/>
                <w:szCs w:val="20"/>
              </w:rPr>
              <w:t>lub o złożeniu wniosku o wpis do CEIDG</w:t>
            </w:r>
            <w:r w:rsidRPr="002C7CA8">
              <w:rPr>
                <w:rFonts w:ascii="Arial" w:hAnsi="Arial" w:cs="Arial"/>
                <w:i/>
                <w:sz w:val="20"/>
                <w:szCs w:val="20"/>
              </w:rPr>
              <w:t xml:space="preserve"> oraz o zaistnieniu innych okoliczności powodujących utratę prawa do zasiłku. Przepis art. 62 stosuje się odpowiednio</w:t>
            </w:r>
            <w:r w:rsidRPr="00CE7A99">
              <w:rPr>
                <w:rFonts w:ascii="Arial" w:hAnsi="Arial" w:cs="Arial"/>
                <w:i/>
                <w:sz w:val="20"/>
                <w:szCs w:val="20"/>
              </w:rPr>
              <w:t>.”</w:t>
            </w:r>
          </w:p>
          <w:p w14:paraId="7074599B" w14:textId="77777777" w:rsidR="00E36E3A" w:rsidRPr="00CE7A99" w:rsidRDefault="00E36E3A" w:rsidP="008C11F5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7E02EF73" w14:textId="67BF2D83" w:rsidR="00E36E3A" w:rsidRDefault="00E36E3A" w:rsidP="00E36E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36E3A">
              <w:rPr>
                <w:rFonts w:ascii="Arial" w:hAnsi="Arial" w:cs="Arial"/>
                <w:sz w:val="20"/>
                <w:szCs w:val="20"/>
              </w:rPr>
              <w:t xml:space="preserve">Na wstępie należy podkreślić, że sam </w:t>
            </w:r>
            <w:r w:rsidRPr="00E36E3A">
              <w:rPr>
                <w:rFonts w:ascii="Arial" w:hAnsi="Arial" w:cs="Arial"/>
                <w:b/>
                <w:bCs/>
                <w:sz w:val="20"/>
                <w:szCs w:val="20"/>
              </w:rPr>
              <w:t>fakt złożenia wniosku o wpis do CEIDG nie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E36E3A">
              <w:rPr>
                <w:rFonts w:ascii="Arial" w:hAnsi="Arial" w:cs="Arial"/>
                <w:b/>
                <w:bCs/>
                <w:sz w:val="20"/>
                <w:szCs w:val="20"/>
              </w:rPr>
              <w:t>przesądza o faktycznym podjęciu działalności gospodarczej i tym samym utracie statusu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E36E3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bezrobotnego. </w:t>
            </w:r>
            <w:r w:rsidRPr="00E36E3A">
              <w:rPr>
                <w:rFonts w:ascii="Arial" w:hAnsi="Arial" w:cs="Arial"/>
                <w:sz w:val="20"/>
                <w:szCs w:val="20"/>
              </w:rPr>
              <w:t>Wniosek o wpis może bowiem być złożony w wielu sytuacjach, które nie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36E3A">
              <w:rPr>
                <w:rFonts w:ascii="Arial" w:hAnsi="Arial" w:cs="Arial"/>
                <w:sz w:val="20"/>
                <w:szCs w:val="20"/>
              </w:rPr>
              <w:t>spowodują utraty statusu bezrobotnego. Należy podkreślić, że bezrobotny nie powinien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36E3A">
              <w:rPr>
                <w:rFonts w:ascii="Arial" w:hAnsi="Arial" w:cs="Arial"/>
                <w:sz w:val="20"/>
                <w:szCs w:val="20"/>
              </w:rPr>
              <w:t>być zobowiązany do zgłoszenia informacji o fakcie złożenia wniosku o wpis, a o podjęciu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36E3A">
              <w:rPr>
                <w:rFonts w:ascii="Arial" w:hAnsi="Arial" w:cs="Arial"/>
                <w:sz w:val="20"/>
                <w:szCs w:val="20"/>
              </w:rPr>
              <w:t>działalności. To faktyczne podjęcie działalności gospodarczej przez bezrobotnego mogłoby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36E3A">
              <w:rPr>
                <w:rFonts w:ascii="Arial" w:hAnsi="Arial" w:cs="Arial"/>
                <w:sz w:val="20"/>
                <w:szCs w:val="20"/>
              </w:rPr>
              <w:t>skutkować utratą prawa do zasiłku, a nie samo złożenie wniosku. Osoba fizyczna może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36E3A">
              <w:rPr>
                <w:rFonts w:ascii="Arial" w:hAnsi="Arial" w:cs="Arial"/>
                <w:sz w:val="20"/>
                <w:szCs w:val="20"/>
              </w:rPr>
              <w:t>złożyć wniosek o wpis w CEIDG wskazując jako datę rozpoczęcia datę przyszłą np.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36E3A">
              <w:rPr>
                <w:rFonts w:ascii="Arial" w:hAnsi="Arial" w:cs="Arial"/>
                <w:sz w:val="20"/>
                <w:szCs w:val="20"/>
              </w:rPr>
              <w:t>1.08.2024 r. składa wniosek o wpis do CEIDG w którym jako datę rozpoczęcia działalności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36E3A">
              <w:rPr>
                <w:rFonts w:ascii="Arial" w:hAnsi="Arial" w:cs="Arial"/>
                <w:sz w:val="20"/>
                <w:szCs w:val="20"/>
              </w:rPr>
              <w:t>wskazuje na 1.10.2024 r. (data ta może być następnie przesunięta na termin wcześniejszy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36E3A">
              <w:rPr>
                <w:rFonts w:ascii="Arial" w:hAnsi="Arial" w:cs="Arial"/>
                <w:sz w:val="20"/>
                <w:szCs w:val="20"/>
              </w:rPr>
              <w:t>lub późniejszy). Możliwe też jest złożenie wniosku o wpis, w którym zaznaczono rubrykę,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36E3A">
              <w:rPr>
                <w:rFonts w:ascii="Arial" w:hAnsi="Arial" w:cs="Arial"/>
                <w:sz w:val="20"/>
                <w:szCs w:val="20"/>
              </w:rPr>
              <w:t>że działalność gospodarcza nie została podjęta i tym samym osoba fizyczna zrezygnowała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36E3A">
              <w:rPr>
                <w:rFonts w:ascii="Arial" w:hAnsi="Arial" w:cs="Arial"/>
                <w:sz w:val="20"/>
                <w:szCs w:val="20"/>
              </w:rPr>
              <w:t>z bycia przedsiębiorcą.</w:t>
            </w:r>
          </w:p>
          <w:p w14:paraId="792DFBB3" w14:textId="77777777" w:rsidR="00E36E3A" w:rsidRPr="00E36E3A" w:rsidRDefault="00E36E3A" w:rsidP="00E36E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44C4198" w14:textId="61F1691C" w:rsidR="00E36E3A" w:rsidRPr="00E36E3A" w:rsidRDefault="00E36E3A" w:rsidP="00E36E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36E3A">
              <w:rPr>
                <w:rFonts w:ascii="Arial" w:hAnsi="Arial" w:cs="Arial"/>
                <w:sz w:val="20"/>
                <w:szCs w:val="20"/>
              </w:rPr>
              <w:t>Warto podkreślić, że zgodnie z art. 46 ust. 6 ustawy o CEIDG i PIP</w:t>
            </w:r>
            <w:r w:rsidRPr="00E36E3A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Pr="00E36E3A">
              <w:rPr>
                <w:rFonts w:ascii="Arial" w:hAnsi="Arial" w:cs="Arial"/>
                <w:sz w:val="20"/>
                <w:szCs w:val="20"/>
              </w:rPr>
              <w:t>organy administracji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36E3A">
              <w:rPr>
                <w:rFonts w:ascii="Arial" w:hAnsi="Arial" w:cs="Arial"/>
                <w:sz w:val="20"/>
                <w:szCs w:val="20"/>
              </w:rPr>
              <w:t>publicznej nie mogą domagać się od przedsiębiorców okazywania, przekazywania lub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36E3A">
              <w:rPr>
                <w:rFonts w:ascii="Arial" w:hAnsi="Arial" w:cs="Arial"/>
                <w:sz w:val="20"/>
                <w:szCs w:val="20"/>
              </w:rPr>
              <w:t>załączania do wniosków i innych przedkładanych przed nimi pism, zaświadczeń o wpisie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36E3A">
              <w:rPr>
                <w:rFonts w:ascii="Arial" w:hAnsi="Arial" w:cs="Arial"/>
                <w:sz w:val="20"/>
                <w:szCs w:val="20"/>
              </w:rPr>
              <w:t>do CEIDG. W naszej ocenie nie ma potrzeby każdorazowego zawiadamiania PUP 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36E3A">
              <w:rPr>
                <w:rFonts w:ascii="Arial" w:hAnsi="Arial" w:cs="Arial"/>
                <w:sz w:val="20"/>
                <w:szCs w:val="20"/>
              </w:rPr>
              <w:t xml:space="preserve">złożeniu wniosku o wpis do CEIDG, nawet jeśli </w:t>
            </w:r>
            <w:r w:rsidRPr="00E36E3A">
              <w:rPr>
                <w:rFonts w:ascii="Arial" w:hAnsi="Arial" w:cs="Arial"/>
                <w:sz w:val="20"/>
                <w:szCs w:val="20"/>
              </w:rPr>
              <w:lastRenderedPageBreak/>
              <w:t>będzie wpływał na status bezrobotnego,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36E3A">
              <w:rPr>
                <w:rFonts w:ascii="Arial" w:hAnsi="Arial" w:cs="Arial"/>
                <w:sz w:val="20"/>
                <w:szCs w:val="20"/>
              </w:rPr>
              <w:t>ponieważ te informacje są jawne i powszechnie dostępne w publicznym rejestrze (art. 45</w:t>
            </w:r>
          </w:p>
          <w:p w14:paraId="3C7D3DAF" w14:textId="77777777" w:rsidR="00E36E3A" w:rsidRDefault="00E36E3A" w:rsidP="00E36E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36E3A">
              <w:rPr>
                <w:rFonts w:ascii="Arial" w:hAnsi="Arial" w:cs="Arial"/>
                <w:sz w:val="20"/>
                <w:szCs w:val="20"/>
              </w:rPr>
              <w:t>ustawy o CEIDG i PIP).</w:t>
            </w:r>
          </w:p>
          <w:p w14:paraId="6FFD32EC" w14:textId="77777777" w:rsidR="00E36E3A" w:rsidRPr="00E36E3A" w:rsidRDefault="00E36E3A" w:rsidP="00E36E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1353987" w14:textId="5E586249" w:rsidR="00A06425" w:rsidRDefault="00E36E3A" w:rsidP="00E36E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36E3A">
              <w:rPr>
                <w:rFonts w:ascii="Arial" w:hAnsi="Arial" w:cs="Arial"/>
                <w:sz w:val="20"/>
                <w:szCs w:val="20"/>
              </w:rPr>
              <w:t>MRIT dysponuje aktualnymi danymi, w oparciu o które urzędy pracy mogłyby dokonywać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36E3A">
              <w:rPr>
                <w:rFonts w:ascii="Arial" w:hAnsi="Arial" w:cs="Arial"/>
                <w:sz w:val="20"/>
                <w:szCs w:val="20"/>
              </w:rPr>
              <w:t>weryfikacji statusu bezrobotnego, bez konieczności nakładania na te osoby dodatkowych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36E3A">
              <w:rPr>
                <w:rFonts w:ascii="Arial" w:hAnsi="Arial" w:cs="Arial"/>
                <w:sz w:val="20"/>
                <w:szCs w:val="20"/>
              </w:rPr>
              <w:t>obowiązków a jednocześnie ograniczając liczbę dodatkowej pracy związanej z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36E3A">
              <w:rPr>
                <w:rFonts w:ascii="Arial" w:hAnsi="Arial" w:cs="Arial"/>
                <w:sz w:val="20"/>
                <w:szCs w:val="20"/>
              </w:rPr>
              <w:t>przyjmowaniem papierowych formularzy/informacji i ich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36E3A">
              <w:rPr>
                <w:rFonts w:ascii="Arial" w:hAnsi="Arial" w:cs="Arial"/>
                <w:sz w:val="20"/>
                <w:szCs w:val="20"/>
              </w:rPr>
              <w:t>sprawdzaniem/gromadzeniem/przechowywaniem, nawet wtedy jeśli bezrobotny nie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36E3A">
              <w:rPr>
                <w:rFonts w:ascii="Arial" w:hAnsi="Arial" w:cs="Arial"/>
                <w:sz w:val="20"/>
                <w:szCs w:val="20"/>
              </w:rPr>
              <w:t>dopełni obowiązku poinformowania urzędu pracy.</w:t>
            </w:r>
          </w:p>
          <w:p w14:paraId="46DA9348" w14:textId="786BEB36" w:rsidR="00E36E3A" w:rsidRPr="00A06425" w:rsidRDefault="00E36E3A" w:rsidP="00E36E3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86" w:type="dxa"/>
            <w:shd w:val="clear" w:color="auto" w:fill="auto"/>
          </w:tcPr>
          <w:p w14:paraId="4A510B5F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222E09AA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14:paraId="48B81990" w14:textId="77777777" w:rsidTr="00C22C13">
        <w:trPr>
          <w:gridAfter w:val="1"/>
          <w:wAfter w:w="40" w:type="dxa"/>
        </w:trPr>
        <w:tc>
          <w:tcPr>
            <w:tcW w:w="562" w:type="dxa"/>
            <w:shd w:val="clear" w:color="auto" w:fill="auto"/>
          </w:tcPr>
          <w:p w14:paraId="2F043B99" w14:textId="0A6DD974" w:rsidR="00A06425" w:rsidRPr="00A06425" w:rsidRDefault="00ED400D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14:paraId="506F16BA" w14:textId="77777777" w:rsidR="00A06425" w:rsidRPr="00A06425" w:rsidRDefault="00A06425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50C7B59C" w14:textId="30BE1360" w:rsidR="00A06425" w:rsidRPr="00A06425" w:rsidRDefault="008C11F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1226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art. 309 ust. 2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 związku z art. 318 oraz art. 305 ust. 3 </w:t>
            </w:r>
            <w:r w:rsidRPr="00112263">
              <w:rPr>
                <w:rFonts w:ascii="Arial" w:hAnsi="Arial" w:cs="Arial"/>
                <w:b/>
                <w:bCs/>
                <w:sz w:val="20"/>
                <w:szCs w:val="20"/>
              </w:rPr>
              <w:t>projektu</w:t>
            </w:r>
          </w:p>
        </w:tc>
        <w:tc>
          <w:tcPr>
            <w:tcW w:w="6521" w:type="dxa"/>
            <w:shd w:val="clear" w:color="auto" w:fill="auto"/>
          </w:tcPr>
          <w:p w14:paraId="26671F05" w14:textId="77777777" w:rsidR="008C11F5" w:rsidRPr="009E02CA" w:rsidRDefault="008C11F5" w:rsidP="008C11F5">
            <w:pPr>
              <w:spacing w:after="240"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„</w:t>
            </w:r>
            <w:r w:rsidRPr="009E02CA">
              <w:rPr>
                <w:rFonts w:ascii="Arial" w:hAnsi="Arial" w:cs="Arial"/>
                <w:i/>
                <w:iCs/>
                <w:sz w:val="20"/>
                <w:szCs w:val="20"/>
              </w:rPr>
              <w:t>Art. 309. 1. Wpis do rejestru agencji zatrudnienia jest dokonywany na podstawie wniosku o wpis do rejestru agencji zatrudnienia, złożonego przez podmiot zamierzający prowadzić agencję zatrudnienia.</w:t>
            </w:r>
          </w:p>
          <w:p w14:paraId="5D1DBC96" w14:textId="77777777" w:rsidR="008C11F5" w:rsidRDefault="008C11F5" w:rsidP="008C11F5">
            <w:pPr>
              <w:spacing w:after="240"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9E02CA">
              <w:rPr>
                <w:rFonts w:ascii="Arial" w:hAnsi="Arial" w:cs="Arial"/>
                <w:i/>
                <w:iCs/>
                <w:sz w:val="20"/>
                <w:szCs w:val="20"/>
              </w:rPr>
              <w:t>2. Wniosek, o którym mowa w ust. 1, zawiera następujące dane:</w:t>
            </w:r>
          </w:p>
          <w:p w14:paraId="58D8A20E" w14:textId="77777777" w:rsidR="008C11F5" w:rsidRDefault="008C11F5" w:rsidP="008C11F5">
            <w:pPr>
              <w:spacing w:after="240"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(…)</w:t>
            </w:r>
          </w:p>
          <w:p w14:paraId="09CDCB94" w14:textId="77777777" w:rsidR="008C11F5" w:rsidRDefault="008C11F5" w:rsidP="008C11F5">
            <w:pPr>
              <w:spacing w:after="240"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9E02CA">
              <w:rPr>
                <w:rFonts w:ascii="Arial" w:hAnsi="Arial" w:cs="Arial"/>
                <w:i/>
                <w:iCs/>
                <w:sz w:val="20"/>
                <w:szCs w:val="20"/>
              </w:rPr>
              <w:t>2</w:t>
            </w:r>
            <w:bookmarkStart w:id="0" w:name="_Hlk175307606"/>
            <w:r w:rsidRPr="009E02CA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 xml:space="preserve">) adres do doręczeń i adres siedziby lub adres stałego miejsca wykonywania działalności </w:t>
            </w:r>
            <w:bookmarkEnd w:id="0"/>
            <w:r w:rsidRPr="009E02CA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podmiotu</w:t>
            </w:r>
            <w:r w:rsidRPr="009E02CA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zamierzającego prowadzić agencję zatrudnienia, oraz adresy lokali, w których będą świadczone usługi agencji zatrudnienia wraz z nazwą gminy, powiatu i województwa, </w:t>
            </w:r>
            <w:bookmarkStart w:id="1" w:name="_Hlk175307629"/>
            <w:r w:rsidRPr="009E02CA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numerem telefonu oraz adresem elektronicznym</w:t>
            </w:r>
            <w:bookmarkEnd w:id="1"/>
            <w:r w:rsidRPr="009E02CA">
              <w:rPr>
                <w:rFonts w:ascii="Arial" w:hAnsi="Arial" w:cs="Arial"/>
                <w:i/>
                <w:iCs/>
                <w:sz w:val="20"/>
                <w:szCs w:val="20"/>
              </w:rPr>
              <w:t>;</w:t>
            </w:r>
          </w:p>
          <w:p w14:paraId="3707B419" w14:textId="77777777" w:rsidR="008C11F5" w:rsidRDefault="008C11F5" w:rsidP="008C11F5">
            <w:pPr>
              <w:spacing w:after="240"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(…)</w:t>
            </w:r>
          </w:p>
          <w:p w14:paraId="3D94F9ED" w14:textId="77777777" w:rsidR="008C11F5" w:rsidRPr="009E02CA" w:rsidRDefault="008C11F5" w:rsidP="008C11F5">
            <w:pPr>
              <w:spacing w:after="240"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9E02CA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7) identyfikator podatkowy NIP, o ile posiada; </w:t>
            </w:r>
          </w:p>
          <w:p w14:paraId="1744C095" w14:textId="77777777" w:rsidR="008C11F5" w:rsidRDefault="008C11F5" w:rsidP="008C11F5">
            <w:pPr>
              <w:spacing w:after="240"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9E02CA">
              <w:rPr>
                <w:rFonts w:ascii="Arial" w:hAnsi="Arial" w:cs="Arial"/>
                <w:i/>
                <w:iCs/>
                <w:sz w:val="20"/>
                <w:szCs w:val="20"/>
              </w:rPr>
              <w:t>8) numer w Krajowym Rejestrze Sądowym albo informację o wpisie do CEIDG – w przypadku przedsiębiorcy, o ile posiada;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”</w:t>
            </w:r>
          </w:p>
          <w:p w14:paraId="439CD28B" w14:textId="77777777" w:rsidR="008C11F5" w:rsidRPr="009E02CA" w:rsidRDefault="008C11F5" w:rsidP="008C11F5">
            <w:pPr>
              <w:spacing w:after="240"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„</w:t>
            </w:r>
            <w:r w:rsidRPr="009E02CA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Art. 318. 1. </w:t>
            </w:r>
            <w:bookmarkStart w:id="2" w:name="_Hlk175307690"/>
            <w:r w:rsidRPr="009E02CA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Marszałek województwa doręcza pisma agencji zatrudnienia wyłącznie </w:t>
            </w:r>
            <w:r w:rsidRPr="009E02CA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na adres do doręczeń elektronicznych</w:t>
            </w:r>
            <w:r w:rsidRPr="009E02CA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wskazany w rejestrze agencji zatrudnienia</w:t>
            </w:r>
            <w:bookmarkEnd w:id="2"/>
            <w:r w:rsidRPr="009E02CA">
              <w:rPr>
                <w:rFonts w:ascii="Arial" w:hAnsi="Arial" w:cs="Arial"/>
                <w:i/>
                <w:iCs/>
                <w:sz w:val="20"/>
                <w:szCs w:val="20"/>
              </w:rPr>
              <w:t>.</w:t>
            </w:r>
          </w:p>
          <w:p w14:paraId="72460419" w14:textId="77777777" w:rsidR="008C11F5" w:rsidRPr="009E02CA" w:rsidRDefault="008C11F5" w:rsidP="008C11F5">
            <w:pPr>
              <w:spacing w:after="240"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9E02CA">
              <w:rPr>
                <w:rFonts w:ascii="Arial" w:hAnsi="Arial" w:cs="Arial"/>
                <w:i/>
                <w:iCs/>
                <w:sz w:val="20"/>
                <w:szCs w:val="20"/>
              </w:rPr>
              <w:t>2. Jeżeli agencja zatrudnienia nie dokona zmiany wpisu do rejestru agencji zatrudnienia w przypadku zmiany adresu, o którym mowa w ust. 1, doręczenie pisma pod dotychczasowy adres do doręczeń ma skutek prawny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”</w:t>
            </w:r>
            <w:r w:rsidRPr="009E02CA">
              <w:rPr>
                <w:rFonts w:ascii="Arial" w:hAnsi="Arial" w:cs="Arial"/>
                <w:i/>
                <w:iCs/>
                <w:sz w:val="20"/>
                <w:szCs w:val="20"/>
              </w:rPr>
              <w:t>.</w:t>
            </w:r>
          </w:p>
          <w:p w14:paraId="2D2EDB22" w14:textId="489E4F30" w:rsidR="00E36E3A" w:rsidRPr="00E36E3A" w:rsidRDefault="00E36E3A" w:rsidP="00E36E3A">
            <w:pPr>
              <w:spacing w:after="240"/>
              <w:ind w:left="-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36E3A">
              <w:rPr>
                <w:rFonts w:ascii="Arial" w:hAnsi="Arial" w:cs="Arial"/>
                <w:sz w:val="20"/>
                <w:szCs w:val="20"/>
              </w:rPr>
              <w:t>Ww. przepis zawiera zakres danych wniosku o wpis do rejestru agencji zatrudnienia</w:t>
            </w:r>
            <w:r w:rsidR="0058130E">
              <w:rPr>
                <w:rFonts w:ascii="Arial" w:hAnsi="Arial" w:cs="Arial"/>
                <w:sz w:val="20"/>
                <w:szCs w:val="20"/>
              </w:rPr>
              <w:t>. W</w:t>
            </w:r>
            <w:r w:rsidRPr="00E36E3A">
              <w:rPr>
                <w:rFonts w:ascii="Arial" w:hAnsi="Arial" w:cs="Arial"/>
                <w:sz w:val="20"/>
                <w:szCs w:val="20"/>
              </w:rPr>
              <w:t xml:space="preserve"> art. 309 ust. 2 pkt 2 wskazano, że wniosek zawiera </w:t>
            </w:r>
            <w:r w:rsidRPr="00E36E3A">
              <w:rPr>
                <w:rFonts w:ascii="Arial" w:hAnsi="Arial" w:cs="Arial"/>
                <w:sz w:val="20"/>
                <w:szCs w:val="20"/>
              </w:rPr>
              <w:lastRenderedPageBreak/>
              <w:t>adres do doręczeń i adres siedziby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36E3A">
              <w:rPr>
                <w:rFonts w:ascii="Arial" w:hAnsi="Arial" w:cs="Arial"/>
                <w:sz w:val="20"/>
                <w:szCs w:val="20"/>
              </w:rPr>
              <w:t>lub adres stałego miejsca wykonywania działalności oraz numer telefonu i adres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36E3A">
              <w:rPr>
                <w:rFonts w:ascii="Arial" w:hAnsi="Arial" w:cs="Arial"/>
                <w:sz w:val="20"/>
                <w:szCs w:val="20"/>
              </w:rPr>
              <w:t>elektroniczny. Jednocześnie w art. 318 rozstrzygnięto, że Marszałek województwa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36E3A">
              <w:rPr>
                <w:rFonts w:ascii="Arial" w:hAnsi="Arial" w:cs="Arial"/>
                <w:sz w:val="20"/>
                <w:szCs w:val="20"/>
              </w:rPr>
              <w:t>doręcza pisma agencji zatrudnienia wyłącznie na adres do doręczeń elektronicznych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36E3A">
              <w:rPr>
                <w:rFonts w:ascii="Arial" w:hAnsi="Arial" w:cs="Arial"/>
                <w:sz w:val="20"/>
                <w:szCs w:val="20"/>
              </w:rPr>
              <w:t>wskazany w rejestrze agencji zatrudnienia. Powyższe oznacza, że podmiot składający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36E3A">
              <w:rPr>
                <w:rFonts w:ascii="Arial" w:hAnsi="Arial" w:cs="Arial"/>
                <w:sz w:val="20"/>
                <w:szCs w:val="20"/>
              </w:rPr>
              <w:t>wniosek o wpis do rejestru agencji zatrudnienia nie podaje w tym wniosku adresu do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36E3A">
              <w:rPr>
                <w:rFonts w:ascii="Arial" w:hAnsi="Arial" w:cs="Arial"/>
                <w:sz w:val="20"/>
                <w:szCs w:val="20"/>
              </w:rPr>
              <w:t>doręczeń elektronicznych (o którym mowa w ustawie o doręczeniach elektronicznych) a więc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36E3A">
              <w:rPr>
                <w:rFonts w:ascii="Arial" w:hAnsi="Arial" w:cs="Arial"/>
                <w:sz w:val="20"/>
                <w:szCs w:val="20"/>
              </w:rPr>
              <w:t>w rejestrze agencji zatrudnienia nie będzie wskazanego adresu do doręczeń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36E3A">
              <w:rPr>
                <w:rFonts w:ascii="Arial" w:hAnsi="Arial" w:cs="Arial"/>
                <w:sz w:val="20"/>
                <w:szCs w:val="20"/>
              </w:rPr>
              <w:t>elektronicznych. Przy czym zakłada się, że jedynym adresem, na który marszałek doręczać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36E3A">
              <w:rPr>
                <w:rFonts w:ascii="Arial" w:hAnsi="Arial" w:cs="Arial"/>
                <w:sz w:val="20"/>
                <w:szCs w:val="20"/>
              </w:rPr>
              <w:t>będzie pisma agencji jest właśnie adres do doręczeń elektronicznych.</w:t>
            </w:r>
          </w:p>
          <w:p w14:paraId="6CA1C7B6" w14:textId="02EA3098" w:rsidR="00E36E3A" w:rsidRPr="00E36E3A" w:rsidRDefault="00E36E3A" w:rsidP="00E36E3A">
            <w:pPr>
              <w:spacing w:after="240"/>
              <w:ind w:left="-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36E3A">
              <w:rPr>
                <w:rFonts w:ascii="Arial" w:hAnsi="Arial" w:cs="Arial"/>
                <w:sz w:val="20"/>
                <w:szCs w:val="20"/>
              </w:rPr>
              <w:t>Powyższe prowadzi do sytuacji, w której podmiot – agencja, nie będzie pewna jakie adresy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36E3A">
              <w:rPr>
                <w:rFonts w:ascii="Arial" w:hAnsi="Arial" w:cs="Arial"/>
                <w:sz w:val="20"/>
                <w:szCs w:val="20"/>
              </w:rPr>
              <w:t>powinna wskazać i na jakie adresy będą jej doręczane pisma. Pewność doręczeń jest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36E3A">
              <w:rPr>
                <w:rFonts w:ascii="Arial" w:hAnsi="Arial" w:cs="Arial"/>
                <w:sz w:val="20"/>
                <w:szCs w:val="20"/>
              </w:rPr>
              <w:t>niezwykle istotną kwestią w każdym postępowaniu administracyjnym, a organ</w:t>
            </w:r>
            <w:r>
              <w:rPr>
                <w:rFonts w:ascii="Arial" w:hAnsi="Arial" w:cs="Arial"/>
                <w:sz w:val="20"/>
                <w:szCs w:val="20"/>
              </w:rPr>
              <w:t xml:space="preserve">y </w:t>
            </w:r>
            <w:r w:rsidRPr="00E36E3A">
              <w:rPr>
                <w:rFonts w:ascii="Arial" w:hAnsi="Arial" w:cs="Arial"/>
                <w:sz w:val="20"/>
                <w:szCs w:val="20"/>
              </w:rPr>
              <w:t>administracji mają obowiązek prowadzić postępowanie w sposób w sposób budzący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36E3A">
              <w:rPr>
                <w:rFonts w:ascii="Arial" w:hAnsi="Arial" w:cs="Arial"/>
                <w:sz w:val="20"/>
                <w:szCs w:val="20"/>
              </w:rPr>
              <w:t>zaufanie jego uczestników do władzy publicznej (art. 8 KPA) oraz zapewnić stron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36E3A">
              <w:rPr>
                <w:rFonts w:ascii="Arial" w:hAnsi="Arial" w:cs="Arial"/>
                <w:sz w:val="20"/>
                <w:szCs w:val="20"/>
              </w:rPr>
              <w:t>możliwość udziału w postepowaniu (art. 10 KPA). Przy wyżej opisanych rozbieżnościach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36E3A">
              <w:rPr>
                <w:rFonts w:ascii="Arial" w:hAnsi="Arial" w:cs="Arial"/>
                <w:sz w:val="20"/>
                <w:szCs w:val="20"/>
              </w:rPr>
              <w:t>trudno jest zachować opisane zasady w kontekście doręczania stronie pism.</w:t>
            </w:r>
          </w:p>
          <w:p w14:paraId="42E93E72" w14:textId="77777777" w:rsidR="00E36E3A" w:rsidRDefault="00E36E3A" w:rsidP="00E36E3A">
            <w:pPr>
              <w:spacing w:after="240"/>
              <w:ind w:left="-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36E3A">
              <w:rPr>
                <w:rFonts w:ascii="Arial" w:hAnsi="Arial" w:cs="Arial"/>
                <w:sz w:val="20"/>
                <w:szCs w:val="20"/>
              </w:rPr>
              <w:t>Jednocześnie należy przypomnieć, że w przypadku przedsiębiorców wpisanych do CEIDG,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36E3A">
              <w:rPr>
                <w:rFonts w:ascii="Arial" w:hAnsi="Arial" w:cs="Arial"/>
                <w:sz w:val="20"/>
                <w:szCs w:val="20"/>
              </w:rPr>
              <w:t>adres do doręczeń jest zawsze obowiązkowo publikowany w CEIDG. Przedsiębiorca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36E3A">
              <w:rPr>
                <w:rFonts w:ascii="Arial" w:hAnsi="Arial" w:cs="Arial"/>
                <w:sz w:val="20"/>
                <w:szCs w:val="20"/>
              </w:rPr>
              <w:t>dokonując wpisu do CEIDG podaje, zgodnie z art. 5 ust. 1 pkt 6 ustawy o CEIDG i PIP, adres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36E3A">
              <w:rPr>
                <w:rFonts w:ascii="Arial" w:hAnsi="Arial" w:cs="Arial"/>
                <w:sz w:val="20"/>
                <w:szCs w:val="20"/>
              </w:rPr>
              <w:t>do doręczeń oraz - jeżeli przedsiębiorca takie miejsce posiada - adres stałego miejsca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36E3A">
              <w:rPr>
                <w:rFonts w:ascii="Arial" w:hAnsi="Arial" w:cs="Arial"/>
                <w:sz w:val="20"/>
                <w:szCs w:val="20"/>
              </w:rPr>
              <w:t>wykonywania działalności gospodarczej. Ponadto po wejściu w życie przepisów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36E3A">
              <w:rPr>
                <w:rFonts w:ascii="Arial" w:hAnsi="Arial" w:cs="Arial"/>
                <w:sz w:val="20"/>
                <w:szCs w:val="20"/>
              </w:rPr>
              <w:t>związanych z objęciem przedsiębiorców obowiązkiem posiadania adresu do doręczeń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36E3A">
              <w:rPr>
                <w:rFonts w:ascii="Arial" w:hAnsi="Arial" w:cs="Arial"/>
                <w:sz w:val="20"/>
                <w:szCs w:val="20"/>
              </w:rPr>
              <w:t>elektronicznych, o którym mowa w ustawie o doręczeniach elektronicznych, przedsiębiorcy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36E3A">
              <w:rPr>
                <w:rFonts w:ascii="Arial" w:hAnsi="Arial" w:cs="Arial"/>
                <w:sz w:val="20"/>
                <w:szCs w:val="20"/>
              </w:rPr>
              <w:t>będą zobowiązani posiadać w CEIDG również adres do doręczeń elektronicznych.</w:t>
            </w:r>
          </w:p>
          <w:p w14:paraId="7163216C" w14:textId="36BDD2E0" w:rsidR="00E36E3A" w:rsidRPr="00E36E3A" w:rsidRDefault="00E36E3A" w:rsidP="00E36E3A">
            <w:pPr>
              <w:spacing w:after="240"/>
              <w:ind w:left="-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36E3A">
              <w:rPr>
                <w:rFonts w:ascii="Arial" w:hAnsi="Arial" w:cs="Arial"/>
                <w:sz w:val="20"/>
                <w:szCs w:val="20"/>
              </w:rPr>
              <w:t>Należy zwrócić uwagę, że CEIDG zawiera już wszystkie adresy przedsiębiorcy, a w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36E3A">
              <w:rPr>
                <w:rFonts w:ascii="Arial" w:hAnsi="Arial" w:cs="Arial"/>
                <w:sz w:val="20"/>
                <w:szCs w:val="20"/>
              </w:rPr>
              <w:t>przypadku prowadzenia przez niego działalności związanej agencją zatrudnienia, również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36E3A">
              <w:rPr>
                <w:rFonts w:ascii="Arial" w:hAnsi="Arial" w:cs="Arial"/>
                <w:sz w:val="20"/>
                <w:szCs w:val="20"/>
              </w:rPr>
              <w:t>adres miejsca prowadzenia działalności powinien znajdować się we wpisie w CEIDG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36E3A">
              <w:rPr>
                <w:rFonts w:ascii="Arial" w:hAnsi="Arial" w:cs="Arial"/>
                <w:sz w:val="20"/>
                <w:szCs w:val="20"/>
              </w:rPr>
              <w:t>(agencja ma obowiązek posiadać lokal – miejsce prowadzenia działalności, a przedsiębiorca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36E3A">
              <w:rPr>
                <w:rFonts w:ascii="Arial" w:hAnsi="Arial" w:cs="Arial"/>
                <w:sz w:val="20"/>
                <w:szCs w:val="20"/>
              </w:rPr>
              <w:t>posiadając takie miejsce ma obowiązek wskazać jego adres w CEIDG). Dla uspójnienia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36E3A">
              <w:rPr>
                <w:rFonts w:ascii="Arial" w:hAnsi="Arial" w:cs="Arial"/>
                <w:sz w:val="20"/>
                <w:szCs w:val="20"/>
              </w:rPr>
              <w:t>danych w rejestrach publicznych oraz zapewnienia pewności tych danych, w naszej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36E3A">
              <w:rPr>
                <w:rFonts w:ascii="Arial" w:hAnsi="Arial" w:cs="Arial"/>
                <w:sz w:val="20"/>
                <w:szCs w:val="20"/>
              </w:rPr>
              <w:t>ocenie, najlepszym rozwiązaniem byłoby zobowiązanie przez przedsiębiorców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36E3A">
              <w:rPr>
                <w:rFonts w:ascii="Arial" w:hAnsi="Arial" w:cs="Arial"/>
                <w:sz w:val="20"/>
                <w:szCs w:val="20"/>
              </w:rPr>
              <w:lastRenderedPageBreak/>
              <w:t>prowadzących agencje zatrudnienia do wskazywania adresów już opublikowanych w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36E3A">
              <w:rPr>
                <w:rFonts w:ascii="Arial" w:hAnsi="Arial" w:cs="Arial"/>
                <w:sz w:val="20"/>
                <w:szCs w:val="20"/>
              </w:rPr>
              <w:t>CEIDG.</w:t>
            </w:r>
          </w:p>
          <w:p w14:paraId="6EFD22E8" w14:textId="147564F0" w:rsidR="00E36E3A" w:rsidRPr="00E36E3A" w:rsidRDefault="00E36E3A" w:rsidP="00E36E3A">
            <w:pPr>
              <w:spacing w:after="240"/>
              <w:ind w:left="-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36E3A">
              <w:rPr>
                <w:rFonts w:ascii="Arial" w:hAnsi="Arial" w:cs="Arial"/>
                <w:sz w:val="20"/>
                <w:szCs w:val="20"/>
              </w:rPr>
              <w:t>Warto wspomnieć, że w przypadku CEIDG przedsiębiorca ma obowiązek posiadać tytuł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36E3A">
              <w:rPr>
                <w:rFonts w:ascii="Arial" w:hAnsi="Arial" w:cs="Arial"/>
                <w:sz w:val="20"/>
                <w:szCs w:val="20"/>
              </w:rPr>
              <w:t>prawny do nieruchomości, której adres wskazano we wpisie w CEIDG, co stanowi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36E3A">
              <w:rPr>
                <w:rFonts w:ascii="Arial" w:hAnsi="Arial" w:cs="Arial"/>
                <w:sz w:val="20"/>
                <w:szCs w:val="20"/>
              </w:rPr>
              <w:t>dodatkowe potwierdzenie poprawności tych danych.</w:t>
            </w:r>
          </w:p>
          <w:p w14:paraId="188F0BEC" w14:textId="491600C7" w:rsidR="00A06425" w:rsidRPr="00A06425" w:rsidRDefault="00E36E3A" w:rsidP="00E36E3A">
            <w:pPr>
              <w:spacing w:after="240"/>
              <w:ind w:left="-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36E3A">
              <w:rPr>
                <w:rFonts w:ascii="Arial" w:hAnsi="Arial" w:cs="Arial"/>
                <w:sz w:val="20"/>
                <w:szCs w:val="20"/>
              </w:rPr>
              <w:t>Dodatkowo przepis art. 309 ust. 2 określa, że wniosek zawiera identyfikator podatkowy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36E3A">
              <w:rPr>
                <w:rFonts w:ascii="Arial" w:hAnsi="Arial" w:cs="Arial"/>
                <w:sz w:val="20"/>
                <w:szCs w:val="20"/>
              </w:rPr>
              <w:t>NIP, o ile posiada; oraz numer w Krajowym Rejestrze Sądowym albo informację o wpisie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36E3A">
              <w:rPr>
                <w:rFonts w:ascii="Arial" w:hAnsi="Arial" w:cs="Arial"/>
                <w:sz w:val="20"/>
                <w:szCs w:val="20"/>
              </w:rPr>
              <w:t>do CEIDG – w przypadku przedsiębiorcy, o ile posiada. Warto zwrócić uwagę, że wpisowi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36E3A">
              <w:rPr>
                <w:rFonts w:ascii="Arial" w:hAnsi="Arial" w:cs="Arial"/>
                <w:sz w:val="20"/>
                <w:szCs w:val="20"/>
              </w:rPr>
              <w:t>do agencji zatrudnienia, zgodnie z art. 305 ust. 3, podlegają również przedsiębiorcy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36E3A">
              <w:rPr>
                <w:rFonts w:ascii="Arial" w:hAnsi="Arial" w:cs="Arial"/>
                <w:sz w:val="20"/>
                <w:szCs w:val="20"/>
              </w:rPr>
              <w:t>zagraniczni, natomiast w zakresie danych wniosku nie przewidziano wskazania informacji 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36E3A">
              <w:rPr>
                <w:rFonts w:ascii="Arial" w:hAnsi="Arial" w:cs="Arial"/>
                <w:sz w:val="20"/>
                <w:szCs w:val="20"/>
              </w:rPr>
              <w:t>właściwym rejestrze zagranicznym, do którego dany podmiot jest wpisany. Proponujemy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36E3A">
              <w:rPr>
                <w:rFonts w:ascii="Arial" w:hAnsi="Arial" w:cs="Arial"/>
                <w:sz w:val="20"/>
                <w:szCs w:val="20"/>
              </w:rPr>
              <w:t>rozważenie wprowadzenia stosownych zmian, tak aby uwzględnić możliwość podania np.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36E3A">
              <w:rPr>
                <w:rFonts w:ascii="Arial" w:hAnsi="Arial" w:cs="Arial"/>
                <w:sz w:val="20"/>
                <w:szCs w:val="20"/>
              </w:rPr>
              <w:t>rodzaju rejestru i ewentualnego nr w rejestrze, o ile podlega wpisowi i o ile posiada nr.</w:t>
            </w:r>
          </w:p>
        </w:tc>
        <w:tc>
          <w:tcPr>
            <w:tcW w:w="3686" w:type="dxa"/>
            <w:shd w:val="clear" w:color="auto" w:fill="auto"/>
          </w:tcPr>
          <w:p w14:paraId="42C925F1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39C153C9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14:paraId="2BC0B0A8" w14:textId="77777777" w:rsidTr="00C22C13">
        <w:trPr>
          <w:gridAfter w:val="1"/>
          <w:wAfter w:w="40" w:type="dxa"/>
        </w:trPr>
        <w:tc>
          <w:tcPr>
            <w:tcW w:w="562" w:type="dxa"/>
            <w:shd w:val="clear" w:color="auto" w:fill="auto"/>
          </w:tcPr>
          <w:p w14:paraId="59B99775" w14:textId="1ADB75A3" w:rsidR="00A06425" w:rsidRPr="00A06425" w:rsidRDefault="00ED400D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5</w:t>
            </w:r>
          </w:p>
        </w:tc>
        <w:tc>
          <w:tcPr>
            <w:tcW w:w="1134" w:type="dxa"/>
            <w:shd w:val="clear" w:color="auto" w:fill="auto"/>
          </w:tcPr>
          <w:p w14:paraId="3FF43DCB" w14:textId="77777777" w:rsidR="00A06425" w:rsidRPr="00A06425" w:rsidRDefault="00A06425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17F369DE" w14:textId="3E231D2E" w:rsidR="00A06425" w:rsidRPr="00A06425" w:rsidRDefault="008C11F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art. 316 projektu</w:t>
            </w:r>
          </w:p>
        </w:tc>
        <w:tc>
          <w:tcPr>
            <w:tcW w:w="6521" w:type="dxa"/>
            <w:shd w:val="clear" w:color="auto" w:fill="auto"/>
          </w:tcPr>
          <w:p w14:paraId="31259CD7" w14:textId="77777777" w:rsidR="008C11F5" w:rsidRPr="002C553D" w:rsidRDefault="008C11F5" w:rsidP="008C11F5">
            <w:pPr>
              <w:spacing w:after="240"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„</w:t>
            </w:r>
            <w:r w:rsidRPr="002C553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Art. 316. Marszałek </w:t>
            </w:r>
            <w:r w:rsidRPr="002C553D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województwa z urzędu w drodze decyzji wykreśla podmiot z rejestru</w:t>
            </w:r>
            <w:r w:rsidRPr="002C553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agencji zatrudnienia po sprawdzeniu informacji w CEIDG albo w Krajowym Rejestrze Sądowym o wykreśleniu przedsiębiorcy z tej ewidencji albo z tego rejestru. </w:t>
            </w:r>
            <w:r w:rsidRPr="002C553D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Wydanie decyzji o wykreśleniu następuje automatycznie</w:t>
            </w:r>
            <w:r w:rsidRPr="002C553D">
              <w:rPr>
                <w:rFonts w:ascii="Arial" w:hAnsi="Arial" w:cs="Arial"/>
                <w:i/>
                <w:iCs/>
                <w:sz w:val="20"/>
                <w:szCs w:val="20"/>
              </w:rPr>
              <w:t>, bez uprzedniego wszczynania postępowania administracyjnego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.”</w:t>
            </w:r>
          </w:p>
          <w:p w14:paraId="70312A4F" w14:textId="430BD477" w:rsidR="00A06425" w:rsidRPr="00A06425" w:rsidRDefault="00E36E3A" w:rsidP="00E36E3A">
            <w:pPr>
              <w:spacing w:after="24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36E3A">
              <w:rPr>
                <w:rFonts w:ascii="Arial" w:hAnsi="Arial" w:cs="Arial"/>
                <w:sz w:val="20"/>
                <w:szCs w:val="20"/>
              </w:rPr>
              <w:t>Zaproponowane rozwiązanie w ocenie MRiT wymaga dodatkowej analizy. W ww.</w:t>
            </w:r>
            <w:r w:rsidR="0058130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36E3A">
              <w:rPr>
                <w:rFonts w:ascii="Arial" w:hAnsi="Arial" w:cs="Arial"/>
                <w:sz w:val="20"/>
                <w:szCs w:val="20"/>
              </w:rPr>
              <w:t>przepisie wskazano, że marszałek z urzędu w drodze decyzji wykreśli podmiot z rejestru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36E3A">
              <w:rPr>
                <w:rFonts w:ascii="Arial" w:hAnsi="Arial" w:cs="Arial"/>
                <w:sz w:val="20"/>
                <w:szCs w:val="20"/>
              </w:rPr>
              <w:t>agencji zatrudnienia w przypadku wykreślenia z CEIDG, a wydanie decyzji następuje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36E3A">
              <w:rPr>
                <w:rFonts w:ascii="Arial" w:hAnsi="Arial" w:cs="Arial"/>
                <w:sz w:val="20"/>
                <w:szCs w:val="20"/>
              </w:rPr>
              <w:t>automatycznie – bez postępowania administracyjnego. Wątpliwości budzi sama zasadność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36E3A">
              <w:rPr>
                <w:rFonts w:ascii="Arial" w:hAnsi="Arial" w:cs="Arial"/>
                <w:sz w:val="20"/>
                <w:szCs w:val="20"/>
              </w:rPr>
              <w:t>wydawania decyzji administracyjnej – w przypadku wykreślenia przedsiębiorcy z CEIDG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36E3A">
              <w:rPr>
                <w:rFonts w:ascii="Arial" w:hAnsi="Arial" w:cs="Arial"/>
                <w:sz w:val="20"/>
                <w:szCs w:val="20"/>
              </w:rPr>
              <w:t>wykreślenie z rejestru agencji zatrudnienia mogłoby następować w drodze czynności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36E3A">
              <w:rPr>
                <w:rFonts w:ascii="Arial" w:hAnsi="Arial" w:cs="Arial"/>
                <w:sz w:val="20"/>
                <w:szCs w:val="20"/>
              </w:rPr>
              <w:t>materialno-technicznej.</w:t>
            </w:r>
          </w:p>
        </w:tc>
        <w:tc>
          <w:tcPr>
            <w:tcW w:w="3686" w:type="dxa"/>
            <w:shd w:val="clear" w:color="auto" w:fill="auto"/>
          </w:tcPr>
          <w:p w14:paraId="29310F8A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5A2DD7E7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B5006" w:rsidRPr="00A06425" w14:paraId="60260EE7" w14:textId="77777777" w:rsidTr="00C22C13">
        <w:trPr>
          <w:gridAfter w:val="1"/>
          <w:wAfter w:w="40" w:type="dxa"/>
        </w:trPr>
        <w:tc>
          <w:tcPr>
            <w:tcW w:w="562" w:type="dxa"/>
            <w:shd w:val="clear" w:color="auto" w:fill="auto"/>
          </w:tcPr>
          <w:p w14:paraId="599B6509" w14:textId="61787072" w:rsidR="00BB5006" w:rsidRPr="00A06425" w:rsidRDefault="00ED400D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14:paraId="397FF32B" w14:textId="77777777" w:rsidR="00BB5006" w:rsidRPr="00A06425" w:rsidRDefault="00BB5006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7CA09DD9" w14:textId="753246BE" w:rsidR="00BB5006" w:rsidRDefault="00BB5006" w:rsidP="004D086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B5006">
              <w:rPr>
                <w:rFonts w:ascii="Arial" w:hAnsi="Arial" w:cs="Arial"/>
                <w:b/>
                <w:bCs/>
                <w:sz w:val="20"/>
                <w:szCs w:val="20"/>
              </w:rPr>
              <w:t>art. 420</w:t>
            </w:r>
          </w:p>
        </w:tc>
        <w:tc>
          <w:tcPr>
            <w:tcW w:w="6521" w:type="dxa"/>
            <w:shd w:val="clear" w:color="auto" w:fill="auto"/>
          </w:tcPr>
          <w:p w14:paraId="38D476E2" w14:textId="28B6218E" w:rsidR="00BB5006" w:rsidRPr="00721BB0" w:rsidRDefault="00BB5006" w:rsidP="00BB5006">
            <w:pPr>
              <w:spacing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1BB0">
              <w:rPr>
                <w:rFonts w:ascii="Arial" w:hAnsi="Arial" w:cs="Arial"/>
                <w:sz w:val="20"/>
                <w:szCs w:val="20"/>
              </w:rPr>
              <w:t xml:space="preserve">Czy referencja do art. 26 ust. 1 pkt 2 jest prawidłowa? Obecna referencja do definicji systemu w rozumieniu ustawy z dnia 20 kwietnia 2004 r. </w:t>
            </w:r>
            <w:r w:rsidRPr="00721BB0">
              <w:rPr>
                <w:rFonts w:ascii="Arial" w:hAnsi="Arial" w:cs="Arial"/>
                <w:sz w:val="20"/>
                <w:szCs w:val="20"/>
              </w:rPr>
              <w:br/>
              <w:t xml:space="preserve">o promocji zatrudnienia i instytucjach rynku pracy mówi o systemach zapewniających spójny system obsługi rynku pracy, w tym systemu teleinformatycznego umożliwiającego wnoszenie wniosków w postaci elektronicznej do publicznych służb zatrudnienia, oraz prowadzenie </w:t>
            </w:r>
            <w:r w:rsidRPr="00721BB0">
              <w:rPr>
                <w:rFonts w:ascii="Arial" w:hAnsi="Arial" w:cs="Arial"/>
                <w:sz w:val="20"/>
                <w:szCs w:val="20"/>
              </w:rPr>
              <w:br/>
              <w:t xml:space="preserve">i udostępnianie internetowej bazy ofert pracy. Po zmianie referencja odnosi się do systemów, które umożliwiają: świadczenie przez publiczne służby zatrudnienia usług elektronicznych na rzecz osób bezrobotnych, </w:t>
            </w:r>
            <w:r w:rsidRPr="00721BB0">
              <w:rPr>
                <w:rFonts w:ascii="Arial" w:hAnsi="Arial" w:cs="Arial"/>
                <w:sz w:val="20"/>
                <w:szCs w:val="20"/>
              </w:rPr>
              <w:lastRenderedPageBreak/>
              <w:t xml:space="preserve">poszukujących pracy, niezarejestrowanych, w tym osób biernych zawodowo oraz pracodawców i przedsiębiorców związanych </w:t>
            </w:r>
            <w:r w:rsidRPr="00721BB0">
              <w:rPr>
                <w:rFonts w:ascii="Arial" w:hAnsi="Arial" w:cs="Arial"/>
                <w:sz w:val="20"/>
                <w:szCs w:val="20"/>
              </w:rPr>
              <w:br/>
              <w:t xml:space="preserve">z dokonywaniem rejestracji jako bezrobotny lub poszukujący pracy oraz z ubieganiem się o udzielenie form pomocy albo o wpis do rejestru, </w:t>
            </w:r>
            <w:r w:rsidRPr="00721BB0">
              <w:rPr>
                <w:rFonts w:ascii="Arial" w:hAnsi="Arial" w:cs="Arial"/>
                <w:sz w:val="20"/>
                <w:szCs w:val="20"/>
              </w:rPr>
              <w:br/>
              <w:t>w szczególności agencji zatrudnienia oraz rejestru podmiotów akredytowanych. Czy zdefiniowana grupa odbiorców systemu, o którym mowa w ustawie z dnia 16 listopada 2022 r. o systemie teleinformatycznym do obsługi niektórych umów, jest adekwatna?</w:t>
            </w:r>
          </w:p>
        </w:tc>
        <w:tc>
          <w:tcPr>
            <w:tcW w:w="3686" w:type="dxa"/>
            <w:shd w:val="clear" w:color="auto" w:fill="auto"/>
          </w:tcPr>
          <w:p w14:paraId="49E1890D" w14:textId="77777777" w:rsidR="00BB5006" w:rsidRPr="00A06425" w:rsidRDefault="00BB5006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6C53A677" w14:textId="77777777" w:rsidR="00BB5006" w:rsidRPr="00A06425" w:rsidRDefault="00BB5006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A45DA8D" w14:textId="77777777"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3063F"/>
    <w:rsid w:val="00034258"/>
    <w:rsid w:val="00097255"/>
    <w:rsid w:val="00140BE8"/>
    <w:rsid w:val="0019648E"/>
    <w:rsid w:val="001F2AE3"/>
    <w:rsid w:val="002602E8"/>
    <w:rsid w:val="002715B2"/>
    <w:rsid w:val="003124D1"/>
    <w:rsid w:val="003B4105"/>
    <w:rsid w:val="004D086F"/>
    <w:rsid w:val="0058130E"/>
    <w:rsid w:val="005860D7"/>
    <w:rsid w:val="005F6527"/>
    <w:rsid w:val="00626E95"/>
    <w:rsid w:val="00642751"/>
    <w:rsid w:val="006705EC"/>
    <w:rsid w:val="006E16E9"/>
    <w:rsid w:val="00721BB0"/>
    <w:rsid w:val="00807385"/>
    <w:rsid w:val="008C11F5"/>
    <w:rsid w:val="00921B96"/>
    <w:rsid w:val="00944932"/>
    <w:rsid w:val="009E5FDB"/>
    <w:rsid w:val="00A04DA6"/>
    <w:rsid w:val="00A06425"/>
    <w:rsid w:val="00AC7796"/>
    <w:rsid w:val="00B871B6"/>
    <w:rsid w:val="00BB5006"/>
    <w:rsid w:val="00C22C13"/>
    <w:rsid w:val="00C64B1B"/>
    <w:rsid w:val="00CA3B4E"/>
    <w:rsid w:val="00CD5EB0"/>
    <w:rsid w:val="00E14C33"/>
    <w:rsid w:val="00E337EC"/>
    <w:rsid w:val="00E34D72"/>
    <w:rsid w:val="00E36E3A"/>
    <w:rsid w:val="00ED400D"/>
    <w:rsid w:val="00FC0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87D950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character" w:styleId="Hipercze">
    <w:name w:val="Hyperlink"/>
    <w:uiPriority w:val="99"/>
    <w:unhideWhenUsed/>
    <w:rsid w:val="008C11F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2087</Words>
  <Characters>12609</Characters>
  <Application>Microsoft Office Word</Application>
  <DocSecurity>4</DocSecurity>
  <Lines>105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14667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Stępniewska-Sałata Aneta</cp:lastModifiedBy>
  <cp:revision>2</cp:revision>
  <dcterms:created xsi:type="dcterms:W3CDTF">2024-09-03T08:35:00Z</dcterms:created>
  <dcterms:modified xsi:type="dcterms:W3CDTF">2024-09-03T08:35:00Z</dcterms:modified>
</cp:coreProperties>
</file>